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12EA" w14:textId="77777777"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14:paraId="65A15D9E" w14:textId="77777777"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 w14:paraId="720FED0E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7A916297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14:paraId="36804626" w14:textId="77777777" w:rsidR="00B9170C" w:rsidRPr="00DC558C" w:rsidRDefault="00C52A13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Комбинат панельного домостроения (КПД)</w:t>
            </w:r>
          </w:p>
        </w:tc>
      </w:tr>
      <w:tr w:rsidR="00B9170C" w:rsidRPr="00DC558C" w14:paraId="6076217F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8061656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14:paraId="4C93E2F1" w14:textId="77777777" w:rsidR="00B9170C" w:rsidRPr="003A032C" w:rsidRDefault="003A032C" w:rsidP="002A46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У</w:t>
            </w:r>
            <w:r w:rsidRPr="003A032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становлено относительно ориентира, расположенного за пределами участка. Ориентир нежилое здание. Участок находится примерно в 600 м от ориентира по направлению на северо-запад. Почтовый адрес ориентира: обл. Архангельская, г.</w:t>
            </w:r>
            <w:r w:rsidR="002A46C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 </w:t>
            </w:r>
            <w:r w:rsidRPr="003A032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Северодвинск, ул. Окружная, дом 21</w:t>
            </w:r>
          </w:p>
        </w:tc>
      </w:tr>
      <w:tr w:rsidR="00B9170C" w:rsidRPr="00DC558C" w14:paraId="40950E26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EEFFF32" w14:textId="77777777"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14:paraId="481DF6E2" w14:textId="77777777" w:rsidR="00B9170C" w:rsidRPr="00690D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Браунфилд</w:t>
            </w:r>
          </w:p>
        </w:tc>
      </w:tr>
      <w:tr w:rsidR="00B9170C" w:rsidRPr="00DC558C" w14:paraId="7327B113" w14:textId="77777777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14:paraId="314C9DAC" w14:textId="77777777"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349AF77" w14:textId="77777777"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14:paraId="1CDD5C39" w14:textId="77777777"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14:paraId="3B17D8EA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54C112D9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14:paraId="4855E9DA" w14:textId="77777777" w:rsidR="00870FD0" w:rsidRDefault="00A82E50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Частная собственность</w:t>
            </w:r>
            <w:r w:rsidR="00D41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FCECDF" w14:textId="22F922D8" w:rsidR="00B9170C" w:rsidRPr="00DC558C" w:rsidRDefault="00D410A2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(АО «ПО «Севмаш»)</w:t>
            </w:r>
          </w:p>
        </w:tc>
      </w:tr>
      <w:tr w:rsidR="00B9170C" w:rsidRPr="00DC558C" w14:paraId="4C1A93C8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1CE961CD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503" w:type="dxa"/>
            <w:shd w:val="clear" w:color="auto" w:fill="auto"/>
          </w:tcPr>
          <w:p w14:paraId="4059B251" w14:textId="77777777" w:rsidR="00B9170C" w:rsidRPr="00DC558C" w:rsidRDefault="00B9170C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58EA2B35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2A44F00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14:paraId="647789B1" w14:textId="77777777"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 w14:paraId="579575BA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A887D47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14:paraId="513ACB48" w14:textId="77777777" w:rsidR="00B9170C" w:rsidRPr="00DC558C" w:rsidRDefault="003A032C" w:rsidP="00C35B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</w:t>
            </w:r>
            <w:r w:rsidR="00C35BFD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предпринимательства</w:t>
            </w:r>
            <w:r w:rsidR="0068313F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B9170C" w:rsidRPr="00DC558C" w14:paraId="0622B547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1BD241FB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14:paraId="6C39F2C1" w14:textId="77777777"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 w14:paraId="4B245DB1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7C910C47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03" w:type="dxa"/>
            <w:shd w:val="clear" w:color="auto" w:fill="auto"/>
          </w:tcPr>
          <w:p w14:paraId="6390F56E" w14:textId="77777777"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 w14:paraId="0816E843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D2B3C3F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14:paraId="0EB31AC6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14:paraId="38DC20A0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71D90D02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14:paraId="2ED4E82F" w14:textId="77777777"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Собственность/ а</w:t>
            </w:r>
            <w:r w:rsidR="00104F78">
              <w:rPr>
                <w:rFonts w:ascii="Times New Roman" w:hAnsi="Times New Roman"/>
                <w:sz w:val="22"/>
                <w:szCs w:val="22"/>
              </w:rPr>
              <w:t>ренда</w:t>
            </w:r>
          </w:p>
        </w:tc>
      </w:tr>
      <w:tr w:rsidR="00B9170C" w:rsidRPr="00DC558C" w14:paraId="558B8AFE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FDC73E3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14:paraId="7756BC87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03AB2BDD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560072A" w14:textId="77777777"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14:paraId="2FFFCEBE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14:paraId="2E853807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58BE72C8" w14:textId="77777777"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14:paraId="1D465706" w14:textId="77777777" w:rsidR="00A94D01" w:rsidRPr="00DC558C" w:rsidRDefault="006F75D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 собственности на недвижимое имущество зарегистрировано в ЕГРН</w:t>
            </w:r>
          </w:p>
        </w:tc>
      </w:tr>
      <w:tr w:rsidR="00B9170C" w:rsidRPr="00DC558C" w14:paraId="2ACC9C02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7C33CE2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14:paraId="280389DD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14:paraId="4F8B739A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0689BF76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14:paraId="6D82D753" w14:textId="77777777" w:rsidR="00B9170C" w:rsidRPr="00DC558C" w:rsidRDefault="00815E7C" w:rsidP="007C6C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</w:t>
            </w:r>
            <w:r w:rsidR="007C6CF8">
              <w:rPr>
                <w:rFonts w:ascii="Times New Roman" w:hAnsi="Times New Roman"/>
                <w:sz w:val="22"/>
                <w:szCs w:val="22"/>
              </w:rPr>
              <w:t>9300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7C6CF8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B9170C" w:rsidRPr="00DC558C" w14:paraId="4FD48FE2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3DEBCE1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14:paraId="0300C6BA" w14:textId="77777777" w:rsidR="00887D06" w:rsidRPr="00DC558C" w:rsidRDefault="0067756A" w:rsidP="006775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26,043</w:t>
            </w:r>
          </w:p>
        </w:tc>
      </w:tr>
      <w:tr w:rsidR="00B9170C" w:rsidRPr="00DC558C" w14:paraId="6781A147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8A0A16E" w14:textId="77777777"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14:paraId="355DB8A7" w14:textId="77777777" w:rsidR="00B9170C" w:rsidRPr="00887D06" w:rsidRDefault="00F6285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</w:t>
            </w:r>
          </w:p>
        </w:tc>
      </w:tr>
      <w:tr w:rsidR="00B9170C" w:rsidRPr="00DC558C" w14:paraId="6098475B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73150CFD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14:paraId="09A02AD8" w14:textId="77777777"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 w14:paraId="191D4D44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CF65250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14:paraId="20C0A241" w14:textId="77777777" w:rsidR="00B9170C" w:rsidRPr="00DC558C" w:rsidRDefault="007C6CF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14:paraId="0E03C0EF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1429DF48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14:paraId="25677BC3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34FED1F9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10D432D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14:paraId="34D6F196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14:paraId="1024D0B2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ECA0610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14:paraId="17576E07" w14:textId="77777777" w:rsidR="00B9170C" w:rsidRPr="00DC558C" w:rsidRDefault="007C6CF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B9170C" w:rsidRPr="00DC558C" w14:paraId="2D5739F6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F670172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14:paraId="5DAF68E0" w14:textId="77777777"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ТЭЦ-2, полигон ТКО</w:t>
            </w:r>
          </w:p>
        </w:tc>
      </w:tr>
      <w:tr w:rsidR="00A94D01" w:rsidRPr="00DC558C" w14:paraId="4C0D65EC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06574B04" w14:textId="77777777"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до них, км</w:t>
            </w:r>
          </w:p>
        </w:tc>
        <w:tc>
          <w:tcPr>
            <w:tcW w:w="4503" w:type="dxa"/>
            <w:shd w:val="clear" w:color="auto" w:fill="auto"/>
          </w:tcPr>
          <w:p w14:paraId="5DE59837" w14:textId="77777777" w:rsidR="00A94D01" w:rsidRPr="00DC558C" w:rsidRDefault="007C6CF8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ТЭЦ-2 100 м</w:t>
            </w:r>
          </w:p>
        </w:tc>
      </w:tr>
      <w:tr w:rsidR="00B9170C" w:rsidRPr="00DC558C" w14:paraId="27D24685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90BF6CF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14:paraId="1B084881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0EFDE152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8E824FF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14:paraId="0CE02BD2" w14:textId="77777777" w:rsidR="00B9170C" w:rsidRPr="00DC558C" w:rsidRDefault="00F62858" w:rsidP="00F6285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производственных, складских объектов</w:t>
            </w:r>
          </w:p>
        </w:tc>
      </w:tr>
      <w:tr w:rsidR="00B9170C" w:rsidRPr="00DC558C" w14:paraId="17D19E77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CB9CBF3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14:paraId="3ED1F5DB" w14:textId="77777777" w:rsidR="00B9170C" w:rsidRPr="00DC558C" w:rsidRDefault="00F6285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Размещение объектов незавершенного строительства</w:t>
            </w:r>
          </w:p>
        </w:tc>
      </w:tr>
      <w:tr w:rsidR="00B9170C" w:rsidRPr="00DC558C" w14:paraId="169503E1" w14:textId="77777777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EEC8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14:paraId="54AD474C" w14:textId="77777777"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14:paraId="474A217A" w14:textId="77777777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6DC29D56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5E1ADAD6" w14:textId="77777777" w:rsidR="00B9170C" w:rsidRPr="00DC558C" w:rsidRDefault="007C6CF8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  <w:r w:rsidR="00815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79C7">
              <w:rPr>
                <w:rFonts w:ascii="Times New Roman" w:hAnsi="Times New Roman"/>
                <w:sz w:val="22"/>
                <w:szCs w:val="22"/>
              </w:rPr>
              <w:t>км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дороге 2 по прямой</w:t>
            </w:r>
          </w:p>
        </w:tc>
      </w:tr>
      <w:tr w:rsidR="00B9170C" w:rsidRPr="00DC558C" w14:paraId="2B0B820F" w14:textId="77777777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01F32814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8554A2D" w14:textId="77777777"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 по дороге 2,4 по прямой</w:t>
            </w:r>
          </w:p>
        </w:tc>
      </w:tr>
      <w:tr w:rsidR="00A94D01" w:rsidRPr="00DC558C" w14:paraId="332A0056" w14:textId="77777777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73893E88" w14:textId="77777777"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330D360" w14:textId="77777777" w:rsidR="00A94D01" w:rsidRPr="00DC558C" w:rsidRDefault="007C6CF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по дороге 39,2 по прямой</w:t>
            </w:r>
          </w:p>
        </w:tc>
      </w:tr>
      <w:tr w:rsidR="00B9170C" w:rsidRPr="00DC558C" w14:paraId="2DE0BD86" w14:textId="77777777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BC3D3" w14:textId="77777777"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14:paraId="747454A9" w14:textId="77777777"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14:paraId="4AFBB6EC" w14:textId="77777777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D38756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14:paraId="7373CD93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5A55CEB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14:paraId="23EA6D67" w14:textId="77777777" w:rsidR="00B9170C" w:rsidRPr="00DC558C" w:rsidRDefault="007C6CF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Дорога с асфальтовым покрытием</w:t>
            </w:r>
          </w:p>
        </w:tc>
      </w:tr>
      <w:tr w:rsidR="00B9170C" w:rsidRPr="00DC558C" w14:paraId="3F2FC305" w14:textId="77777777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14:paraId="3CA27358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14:paraId="5D016255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6597EAB" w14:textId="77777777"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14:paraId="525D3685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E7C" w:rsidRPr="00DC558C" w14:paraId="29C7800B" w14:textId="77777777" w:rsidTr="00815E7C">
        <w:trPr>
          <w:jc w:val="center"/>
        </w:trPr>
        <w:tc>
          <w:tcPr>
            <w:tcW w:w="10064" w:type="dxa"/>
            <w:shd w:val="clear" w:color="auto" w:fill="auto"/>
          </w:tcPr>
          <w:p w14:paraId="192644CD" w14:textId="77777777"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4503" w:type="dxa"/>
            <w:shd w:val="clear" w:color="auto" w:fill="auto"/>
          </w:tcPr>
          <w:p w14:paraId="6C2A31DB" w14:textId="77777777"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87E59C" w14:textId="77777777"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353"/>
        <w:gridCol w:w="938"/>
        <w:gridCol w:w="338"/>
        <w:gridCol w:w="796"/>
        <w:gridCol w:w="1134"/>
        <w:gridCol w:w="750"/>
        <w:gridCol w:w="341"/>
        <w:gridCol w:w="326"/>
        <w:gridCol w:w="1134"/>
        <w:gridCol w:w="1022"/>
        <w:gridCol w:w="963"/>
        <w:gridCol w:w="874"/>
        <w:gridCol w:w="260"/>
        <w:gridCol w:w="1559"/>
        <w:gridCol w:w="1855"/>
        <w:gridCol w:w="66"/>
      </w:tblGrid>
      <w:tr w:rsidR="004B10B3" w:rsidRPr="00DC558C" w14:paraId="3FE2A42A" w14:textId="77777777" w:rsidTr="00F431B3">
        <w:trPr>
          <w:gridBefore w:val="1"/>
          <w:gridAfter w:val="1"/>
          <w:wBefore w:w="79" w:type="dxa"/>
          <w:wAfter w:w="66" w:type="dxa"/>
          <w:trHeight w:val="528"/>
          <w:jc w:val="center"/>
        </w:trPr>
        <w:tc>
          <w:tcPr>
            <w:tcW w:w="14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073AE" w14:textId="77777777"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431B3" w:rsidRPr="00DC558C" w14:paraId="3B23794A" w14:textId="77777777" w:rsidTr="00F431B3">
        <w:trPr>
          <w:gridBefore w:val="1"/>
          <w:gridAfter w:val="1"/>
          <w:wBefore w:w="79" w:type="dxa"/>
          <w:wAfter w:w="66" w:type="dxa"/>
          <w:trHeight w:val="1013"/>
          <w:jc w:val="center"/>
        </w:trPr>
        <w:tc>
          <w:tcPr>
            <w:tcW w:w="3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C0C3C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14:paraId="2224D343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C97CF0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14:paraId="41CB0DF4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5E332C4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1F5CFA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14:paraId="063E9926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A85EE5E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166263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14:paraId="48C972CA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458EEA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14:paraId="4E88978D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92ACF7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14:paraId="2A6600DE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14:paraId="263C090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14:paraId="68345811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31B3" w:rsidRPr="00DC558C" w14:paraId="6AC9D7C4" w14:textId="77777777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0E20D" w14:textId="77777777" w:rsidR="00B9170C" w:rsidRPr="00DC558C" w:rsidRDefault="007C6CF8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энергоблока (объект незавершенного строительства. Степень готовности 65%)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CE237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1923,3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3B7B" w14:textId="77777777" w:rsidR="00815E7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9E647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410B9" w14:textId="77777777" w:rsidR="00815E7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5,18-8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28EBB" w14:textId="77777777" w:rsidR="005A42EB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ж/б плиты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A69C8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134B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604FA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14:paraId="68A3B9BA" w14:textId="77777777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75816" w14:textId="77777777" w:rsidR="00B9170C" w:rsidRPr="00DC558C" w:rsidRDefault="007C6CF8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главного производственного корпуса (объект незавершенного строительства. Степень готовности 56%)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34C3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36855,2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DE7A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ACCA8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A16CF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15,3-17,7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CB82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арболитовые панели, ж/б панели, 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0F891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B14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B18D0" w14:textId="77777777"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14:paraId="49E8B5C8" w14:textId="77777777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9106D" w14:textId="77777777" w:rsidR="007C6CF8" w:rsidRDefault="007C6CF8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Здание бытового корпуса со столовой (Объект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незавершенного строительства. Степень готовности 73%)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8091B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Площадь застройк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и – 1598,6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20CAE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D27B5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922F3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7,6-21,35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E6FBC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ж/б плиты, 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1669F" w14:textId="77777777"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ACE1D" w14:textId="77777777"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1D4AD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14:paraId="756CEB11" w14:textId="77777777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297B0" w14:textId="77777777" w:rsidR="00F431B3" w:rsidRDefault="007C6CF8" w:rsidP="00F43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Здание склада заполнителей с галереями и приемными устройства (Объект незавершенного строительства. Степень готовности 34%)</w:t>
            </w:r>
          </w:p>
          <w:p w14:paraId="35D23991" w14:textId="77777777" w:rsidR="00F431B3" w:rsidRDefault="00F431B3" w:rsidP="00F43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7489D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1257,7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9A02E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2C2D4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908BE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2,1-10,2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1570A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4D168" w14:textId="77777777"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5427" w14:textId="77777777"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3400D" w14:textId="77777777"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14:paraId="5F8E4ADF" w14:textId="77777777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2DBCA" w14:textId="77777777" w:rsidR="00F431B3" w:rsidRDefault="00F431B3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склада готовой продукции (Объект незавершенного строительства. Степень готовности 63%)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6D4E3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11936,7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1CFB9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ABC15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3D3B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E4D7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ACEDE" w14:textId="77777777"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EEE6B" w14:textId="77777777"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D5B8E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14:paraId="5C328AED" w14:textId="77777777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B499D" w14:textId="77777777" w:rsidR="00F431B3" w:rsidRDefault="00F431B3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склада эмульсола с отделением химических добавок (объект незавершенного строительства. Степень готовности 75%)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40EDD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967,4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ED74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6BAE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3EBAC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7,15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4E9E5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DC9D0" w14:textId="77777777"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FF50" w14:textId="77777777"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763B" w14:textId="77777777"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A0A3C" w:rsidRPr="00DC558C" w14:paraId="5493BB2D" w14:textId="77777777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14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8899B" w14:textId="77777777"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14:paraId="19CAD83D" w14:textId="77777777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2808C35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88FA571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14:paraId="5703DF2C" w14:textId="77777777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14:paraId="15D65D20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14:paraId="5BBF5A9B" w14:textId="77777777" w:rsidR="00B9170C" w:rsidRPr="00DC558C" w:rsidRDefault="00B9170C" w:rsidP="005A42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62F06E11" w14:textId="77777777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14:paraId="4A958648" w14:textId="77777777"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14:paraId="654D5630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14:paraId="7A9D98EF" w14:textId="77777777" w:rsidTr="00F431B3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B5AF7" w14:textId="77777777"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14:paraId="76AF259E" w14:textId="77777777" w:rsidTr="00F431B3">
        <w:trPr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00F58C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14:paraId="3ED8C4EA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0722AC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 w:rsidR="00277C5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35C9D5E9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2012AE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14:paraId="3879582E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14:paraId="2238B4AE" w14:textId="77777777"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14:paraId="74783420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74A351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AA1F4A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14:paraId="0C7F0A9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14:paraId="00C5F8E2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E9A82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14:paraId="2FE4C6E6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14:paraId="44B5545D" w14:textId="77777777" w:rsidTr="00F431B3">
        <w:trPr>
          <w:trHeight w:val="231"/>
          <w:jc w:val="center"/>
        </w:trPr>
        <w:tc>
          <w:tcPr>
            <w:tcW w:w="2432" w:type="dxa"/>
            <w:gridSpan w:val="2"/>
            <w:shd w:val="clear" w:color="auto" w:fill="auto"/>
          </w:tcPr>
          <w:p w14:paraId="384303DA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F799E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1ED95A91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13742028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690249D6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17D7967F" w14:textId="77777777" w:rsidR="002472A3" w:rsidRPr="00DC558C" w:rsidRDefault="002472A3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17332E93" w14:textId="77777777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14:paraId="7B723F89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FC5D1C" w14:textId="77777777" w:rsidR="00B9170C" w:rsidRPr="00DC558C" w:rsidRDefault="00B9170C" w:rsidP="005A4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</w:t>
            </w:r>
            <w:r w:rsidR="005A42EB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348CDC34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1AE89959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684FB8BB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556ED020" w14:textId="77777777" w:rsidR="002472A3" w:rsidRPr="00DC558C" w:rsidRDefault="002472A3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5F812451" w14:textId="77777777" w:rsidTr="00F431B3">
        <w:trPr>
          <w:trHeight w:val="243"/>
          <w:jc w:val="center"/>
        </w:trPr>
        <w:tc>
          <w:tcPr>
            <w:tcW w:w="2432" w:type="dxa"/>
            <w:gridSpan w:val="2"/>
            <w:shd w:val="clear" w:color="auto" w:fill="auto"/>
          </w:tcPr>
          <w:p w14:paraId="218E73CD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FD545D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419A6C45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5C386FE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7C29CCC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6AA1E2A8" w14:textId="77777777" w:rsidR="002472A3" w:rsidRPr="00DC558C" w:rsidRDefault="002472A3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329E9A89" w14:textId="77777777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14:paraId="785B16BB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8405E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38E4815C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3143709A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0343970B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53064554" w14:textId="77777777" w:rsidR="00B9170C" w:rsidRPr="00DC558C" w:rsidRDefault="00B9170C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49D14474" w14:textId="77777777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14:paraId="099B3D49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8ABFE3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1CF01AF1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42466139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210CA119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7C8D0A4E" w14:textId="77777777" w:rsidR="00B9170C" w:rsidRPr="00DC558C" w:rsidRDefault="00B9170C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14:paraId="4867FA13" w14:textId="77777777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14:paraId="7C3BE231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6159A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51B92C3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47E21DE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48A33F80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14:paraId="39C7FDFF" w14:textId="77777777" w:rsidR="002472A3" w:rsidRPr="00DC558C" w:rsidRDefault="002472A3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F18DF5" w14:textId="77777777"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14:paraId="68DFCEC9" w14:textId="77777777" w:rsidR="002A46C8" w:rsidRDefault="002A46C8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14:paraId="6D0CEC9A" w14:textId="77777777" w:rsidR="002A46C8" w:rsidRDefault="002A46C8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14:paraId="23DDCC41" w14:textId="77777777" w:rsidR="002A46C8" w:rsidRDefault="002A46C8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14:paraId="0EF19A48" w14:textId="77777777" w:rsidR="002A46C8" w:rsidRDefault="002A46C8" w:rsidP="002A46C8">
      <w:pPr>
        <w:jc w:val="center"/>
        <w:rPr>
          <w:rFonts w:ascii="Times New Roman" w:hAnsi="Times New Roman"/>
          <w:b/>
          <w:sz w:val="28"/>
          <w:szCs w:val="28"/>
        </w:rPr>
      </w:pPr>
      <w:r w:rsidRPr="002A46C8">
        <w:rPr>
          <w:rFonts w:ascii="Times New Roman" w:hAnsi="Times New Roman"/>
          <w:b/>
          <w:sz w:val="28"/>
          <w:szCs w:val="28"/>
        </w:rPr>
        <w:t>Схема земельного инвестиционной площадки</w:t>
      </w:r>
    </w:p>
    <w:p w14:paraId="65B86644" w14:textId="77777777" w:rsidR="002A46C8" w:rsidRDefault="002A46C8" w:rsidP="002A46C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381BB0" w14:textId="77777777" w:rsidR="002A46C8" w:rsidRPr="002A46C8" w:rsidRDefault="002A46C8" w:rsidP="002A46C8">
      <w:pPr>
        <w:jc w:val="center"/>
        <w:rPr>
          <w:rFonts w:ascii="Times New Roman" w:hAnsi="Times New Roman"/>
          <w:b/>
          <w:sz w:val="28"/>
          <w:szCs w:val="28"/>
        </w:rPr>
      </w:pPr>
      <w:r w:rsidRPr="002A46C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98B18BC" wp14:editId="6840D06B">
            <wp:extent cx="7315200" cy="5276761"/>
            <wp:effectExtent l="0" t="0" r="0" b="635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9_Схема Окружная  260426 м_КП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9_Схема Окружная  260426 м_КПД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209" cy="52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6C8" w:rsidRPr="002A46C8" w:rsidSect="002A46C8">
      <w:headerReference w:type="default" r:id="rId9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4BF3" w14:textId="77777777" w:rsidR="00B22638" w:rsidRDefault="00B22638" w:rsidP="002A46C8">
      <w:r>
        <w:separator/>
      </w:r>
    </w:p>
  </w:endnote>
  <w:endnote w:type="continuationSeparator" w:id="0">
    <w:p w14:paraId="147224AC" w14:textId="77777777" w:rsidR="00B22638" w:rsidRDefault="00B22638" w:rsidP="002A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76E9" w14:textId="77777777" w:rsidR="00B22638" w:rsidRDefault="00B22638" w:rsidP="002A46C8">
      <w:r>
        <w:separator/>
      </w:r>
    </w:p>
  </w:footnote>
  <w:footnote w:type="continuationSeparator" w:id="0">
    <w:p w14:paraId="61D825A6" w14:textId="77777777" w:rsidR="00B22638" w:rsidRDefault="00B22638" w:rsidP="002A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75680"/>
      <w:docPartObj>
        <w:docPartGallery w:val="Page Numbers (Top of Page)"/>
        <w:docPartUnique/>
      </w:docPartObj>
    </w:sdtPr>
    <w:sdtEndPr/>
    <w:sdtContent>
      <w:p w14:paraId="5D3CBD90" w14:textId="77777777" w:rsidR="002A46C8" w:rsidRDefault="002A46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AB">
          <w:rPr>
            <w:noProof/>
          </w:rPr>
          <w:t>2</w:t>
        </w:r>
        <w:r>
          <w:fldChar w:fldCharType="end"/>
        </w:r>
      </w:p>
    </w:sdtContent>
  </w:sdt>
  <w:p w14:paraId="7E41223D" w14:textId="77777777" w:rsidR="002A46C8" w:rsidRDefault="002A46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3C03"/>
    <w:rsid w:val="0011746A"/>
    <w:rsid w:val="001259B6"/>
    <w:rsid w:val="0018199E"/>
    <w:rsid w:val="001A6C4B"/>
    <w:rsid w:val="001B23C6"/>
    <w:rsid w:val="001D0540"/>
    <w:rsid w:val="001E1B35"/>
    <w:rsid w:val="00227689"/>
    <w:rsid w:val="002472A3"/>
    <w:rsid w:val="002769F8"/>
    <w:rsid w:val="00277C57"/>
    <w:rsid w:val="002A46C8"/>
    <w:rsid w:val="002C00C3"/>
    <w:rsid w:val="00346829"/>
    <w:rsid w:val="00361ABB"/>
    <w:rsid w:val="00380C8E"/>
    <w:rsid w:val="00383FEF"/>
    <w:rsid w:val="003A032C"/>
    <w:rsid w:val="003A2CAB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A42EB"/>
    <w:rsid w:val="005E4BCC"/>
    <w:rsid w:val="0067756A"/>
    <w:rsid w:val="0068313F"/>
    <w:rsid w:val="0068404E"/>
    <w:rsid w:val="00690D8C"/>
    <w:rsid w:val="006F21D3"/>
    <w:rsid w:val="006F3425"/>
    <w:rsid w:val="006F34D8"/>
    <w:rsid w:val="006F75DC"/>
    <w:rsid w:val="00715FE0"/>
    <w:rsid w:val="00743806"/>
    <w:rsid w:val="0075005D"/>
    <w:rsid w:val="00753D06"/>
    <w:rsid w:val="00756B09"/>
    <w:rsid w:val="007974E6"/>
    <w:rsid w:val="007C6CF8"/>
    <w:rsid w:val="00812760"/>
    <w:rsid w:val="008158EB"/>
    <w:rsid w:val="00815E7C"/>
    <w:rsid w:val="00834246"/>
    <w:rsid w:val="00870FD0"/>
    <w:rsid w:val="00887D06"/>
    <w:rsid w:val="008A0A3C"/>
    <w:rsid w:val="008A7AF6"/>
    <w:rsid w:val="008E2981"/>
    <w:rsid w:val="00911823"/>
    <w:rsid w:val="00990B60"/>
    <w:rsid w:val="009A0831"/>
    <w:rsid w:val="009A27C4"/>
    <w:rsid w:val="009A42EE"/>
    <w:rsid w:val="009C2430"/>
    <w:rsid w:val="009D4D33"/>
    <w:rsid w:val="00A02CEB"/>
    <w:rsid w:val="00A6392F"/>
    <w:rsid w:val="00A82E50"/>
    <w:rsid w:val="00A82F4E"/>
    <w:rsid w:val="00A94D01"/>
    <w:rsid w:val="00AB1C85"/>
    <w:rsid w:val="00AC71DD"/>
    <w:rsid w:val="00B175FB"/>
    <w:rsid w:val="00B211C8"/>
    <w:rsid w:val="00B22638"/>
    <w:rsid w:val="00B73C1D"/>
    <w:rsid w:val="00B820FC"/>
    <w:rsid w:val="00B9170C"/>
    <w:rsid w:val="00B9249A"/>
    <w:rsid w:val="00B97FEA"/>
    <w:rsid w:val="00BC4EC1"/>
    <w:rsid w:val="00C01857"/>
    <w:rsid w:val="00C308BD"/>
    <w:rsid w:val="00C35BFD"/>
    <w:rsid w:val="00C44357"/>
    <w:rsid w:val="00C52A13"/>
    <w:rsid w:val="00CC6B87"/>
    <w:rsid w:val="00CD002F"/>
    <w:rsid w:val="00CD0B23"/>
    <w:rsid w:val="00CF0C6F"/>
    <w:rsid w:val="00D30862"/>
    <w:rsid w:val="00D410A2"/>
    <w:rsid w:val="00D723A0"/>
    <w:rsid w:val="00D93555"/>
    <w:rsid w:val="00DA5153"/>
    <w:rsid w:val="00DC558C"/>
    <w:rsid w:val="00DE5A5E"/>
    <w:rsid w:val="00EB4BD7"/>
    <w:rsid w:val="00EB78AE"/>
    <w:rsid w:val="00EE53AE"/>
    <w:rsid w:val="00F431B3"/>
    <w:rsid w:val="00F62858"/>
    <w:rsid w:val="00F75521"/>
    <w:rsid w:val="00FB3DF1"/>
    <w:rsid w:val="00FC13FF"/>
    <w:rsid w:val="00FE3E19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23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link w:val="ad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0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2A46C8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link w:val="ad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0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2A46C8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2023-06-20T09:47:00Z</dcterms:created>
  <dcterms:modified xsi:type="dcterms:W3CDTF">2023-06-20T09:47:00Z</dcterms:modified>
</cp:coreProperties>
</file>